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ng" ContentType="image/png"/>
</Types>
</file>

<file path=_rels/.rels><?xml version="1.0" encoding="UTF-8" standalone="yes"?>
<Relationships xmlns="http://schemas.openxmlformats.org/package/2006/relationships"><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96AB9" w:rsidRPr="00096AB9" w:rsidRDefault="004F4B90" w:rsidP="00096AB9">
      <w:pPr>
        <w:framePr w:w="1080" w:h="1080" w:hRule="exact" w:hSpace="240" w:vSpace="240" w:wrap="auto" w:vAnchor="text" w:hAnchor="margin" w:x="25" w:y="1"/>
        <w:pBdr>
          <w:top w:val="single" w:sz="6" w:space="0" w:color="FFFFFF"/>
          <w:left w:val="single" w:sz="6" w:space="0" w:color="FFFFFF"/>
          <w:bottom w:val="single" w:sz="6" w:space="0" w:color="FFFFFF"/>
          <w:right w:val="single" w:sz="6" w:space="0" w:color="FFFFFF"/>
        </w:pBdr>
        <w:rPr>
          <w:szCs w:val="24"/>
        </w:rPr>
      </w:pPr>
      <w:r>
        <w:rPr>
          <w:noProof/>
          <w:snapToGrid/>
          <w:szCs w:val="24"/>
        </w:rPr>
        <w:drawing>
          <wp:inline distT="0" distB="0" distL="0" distR="0">
            <wp:extent cx="685800" cy="685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346" t="-3305" r="-346" b="-3305"/>
                    <a:stretch>
                      <a:fillRect/>
                    </a:stretch>
                  </pic:blipFill>
                  <pic:spPr bwMode="auto">
                    <a:xfrm>
                      <a:off x="0" y="0"/>
                      <a:ext cx="685800" cy="685800"/>
                    </a:xfrm>
                    <a:prstGeom prst="rect">
                      <a:avLst/>
                    </a:prstGeom>
                    <a:noFill/>
                    <a:ln w="9525">
                      <a:noFill/>
                      <a:miter lim="800000"/>
                      <a:headEnd/>
                      <a:tailEnd/>
                    </a:ln>
                  </pic:spPr>
                </pic:pic>
              </a:graphicData>
            </a:graphic>
          </wp:inline>
        </w:drawing>
      </w:r>
    </w:p>
    <w:p w:rsidR="00096AB9" w:rsidRPr="00096AB9" w:rsidRDefault="00096AB9" w:rsidP="00096AB9">
      <w:pPr>
        <w:widowControl/>
        <w:jc w:val="right"/>
        <w:rPr>
          <w:szCs w:val="24"/>
        </w:rPr>
      </w:pPr>
      <w:r w:rsidRPr="00096AB9">
        <w:rPr>
          <w:szCs w:val="24"/>
        </w:rPr>
        <w:t xml:space="preserve"> </w:t>
      </w:r>
      <w:r w:rsidRPr="00096AB9">
        <w:rPr>
          <w:b/>
          <w:szCs w:val="24"/>
        </w:rPr>
        <w:t>DEPARTMENT OF HEALTH &amp; HUMAN SERVICES</w:t>
      </w:r>
    </w:p>
    <w:p w:rsidR="00096AB9" w:rsidRPr="00096AB9" w:rsidRDefault="00096AB9" w:rsidP="00096AB9">
      <w:pPr>
        <w:widowControl/>
        <w:jc w:val="right"/>
        <w:rPr>
          <w:b/>
          <w:szCs w:val="24"/>
        </w:rPr>
      </w:pPr>
      <w:r w:rsidRPr="00096AB9">
        <w:rPr>
          <w:b/>
          <w:szCs w:val="24"/>
        </w:rPr>
        <w:t>Centers for Medicare and Medicaid Services</w:t>
      </w:r>
    </w:p>
    <w:p w:rsidR="00096AB9" w:rsidRPr="00096AB9" w:rsidRDefault="00096AB9" w:rsidP="00096AB9">
      <w:pPr>
        <w:widowControl/>
        <w:jc w:val="right"/>
        <w:rPr>
          <w:szCs w:val="24"/>
        </w:rPr>
      </w:pPr>
    </w:p>
    <w:p w:rsidR="00096AB9" w:rsidRPr="00096AB9" w:rsidRDefault="00217449" w:rsidP="00096AB9">
      <w:pPr>
        <w:widowControl/>
        <w:jc w:val="right"/>
        <w:rPr>
          <w:b/>
          <w:szCs w:val="24"/>
        </w:rPr>
      </w:pPr>
      <w:r w:rsidRPr="00217449">
        <w:rPr>
          <w:noProof/>
          <w:snapToGrid/>
          <w:szCs w:val="24"/>
        </w:rPr>
        <w:pict>
          <v:rect id="_x0000_s1026" style="position:absolute;left:0;text-align:left;margin-left:26.7pt;margin-top:0;width:558.6pt;height:1.4pt;z-index:-251658240;mso-position-horizontal-relative:page" o:allowincell="f" fillcolor="black" stroked="f" strokeweight="0">
            <v:fill color2="black"/>
            <w10:wrap anchorx="page"/>
            <w10:anchorlock/>
          </v:rect>
        </w:pict>
      </w:r>
      <w:r w:rsidR="00096AB9" w:rsidRPr="00096AB9">
        <w:rPr>
          <w:szCs w:val="24"/>
        </w:rPr>
        <w:t xml:space="preserve"> </w:t>
      </w:r>
      <w:r w:rsidR="00096AB9" w:rsidRPr="00096AB9">
        <w:rPr>
          <w:b/>
          <w:szCs w:val="24"/>
        </w:rPr>
        <w:t>Survey and Certification Group</w:t>
      </w:r>
    </w:p>
    <w:p w:rsidR="00096AB9" w:rsidRPr="00096AB9" w:rsidRDefault="00096AB9" w:rsidP="00096AB9">
      <w:pPr>
        <w:widowControl/>
        <w:jc w:val="right"/>
        <w:rPr>
          <w:b/>
          <w:szCs w:val="24"/>
        </w:rPr>
      </w:pPr>
      <w:r w:rsidRPr="00096AB9">
        <w:rPr>
          <w:b/>
          <w:szCs w:val="24"/>
        </w:rPr>
        <w:t>Center for Medicaid and State Operations</w:t>
      </w:r>
    </w:p>
    <w:p w:rsidR="00096AB9" w:rsidRPr="00096AB9" w:rsidRDefault="00096AB9" w:rsidP="00096AB9">
      <w:pPr>
        <w:widowControl/>
        <w:jc w:val="right"/>
        <w:rPr>
          <w:szCs w:val="24"/>
        </w:rPr>
      </w:pPr>
      <w:r w:rsidRPr="00096AB9">
        <w:rPr>
          <w:b/>
          <w:szCs w:val="24"/>
        </w:rPr>
        <w:t>7500 Security Boulevard</w:t>
      </w:r>
    </w:p>
    <w:p w:rsidR="00096AB9" w:rsidRPr="00096AB9" w:rsidRDefault="00096AB9" w:rsidP="00096AB9">
      <w:pPr>
        <w:pStyle w:val="Heading2"/>
        <w:rPr>
          <w:szCs w:val="24"/>
        </w:rPr>
      </w:pPr>
      <w:r w:rsidRPr="00096AB9">
        <w:rPr>
          <w:szCs w:val="24"/>
        </w:rPr>
        <w:t>Baltimore, MD 21244-1850</w:t>
      </w:r>
    </w:p>
    <w:p w:rsidR="00096AB9" w:rsidRPr="00096AB9" w:rsidRDefault="00096AB9" w:rsidP="00096AB9">
      <w:pPr>
        <w:widowControl/>
        <w:ind w:right="-4"/>
        <w:rPr>
          <w:szCs w:val="24"/>
        </w:rPr>
      </w:pPr>
    </w:p>
    <w:p w:rsidR="00096AB9" w:rsidRPr="00096AB9" w:rsidRDefault="00C57B3A" w:rsidP="00096AB9">
      <w:pPr>
        <w:widowControl/>
        <w:ind w:right="-4"/>
        <w:rPr>
          <w:szCs w:val="24"/>
        </w:rPr>
      </w:pPr>
      <w:r>
        <w:rPr>
          <w:szCs w:val="24"/>
        </w:rPr>
        <w:t>April 20, 2010</w:t>
      </w:r>
    </w:p>
    <w:p w:rsidR="009E1E10" w:rsidRDefault="009E1E10" w:rsidP="00096AB9">
      <w:pPr>
        <w:rPr>
          <w:szCs w:val="24"/>
        </w:rPr>
      </w:pPr>
    </w:p>
    <w:p w:rsidR="009E1E10" w:rsidRDefault="009E1E10" w:rsidP="00096AB9">
      <w:pPr>
        <w:rPr>
          <w:szCs w:val="24"/>
        </w:rPr>
      </w:pPr>
    </w:p>
    <w:p w:rsidR="00096AB9" w:rsidRPr="00096AB9" w:rsidRDefault="00096AB9" w:rsidP="00096AB9">
      <w:pPr>
        <w:rPr>
          <w:szCs w:val="24"/>
        </w:rPr>
      </w:pPr>
      <w:r w:rsidRPr="00096AB9">
        <w:rPr>
          <w:szCs w:val="24"/>
        </w:rPr>
        <w:t>Dear Stakeholder:</w:t>
      </w:r>
    </w:p>
    <w:p w:rsidR="00096AB9" w:rsidRPr="00096AB9" w:rsidRDefault="00096AB9" w:rsidP="00096AB9">
      <w:pPr>
        <w:rPr>
          <w:szCs w:val="24"/>
        </w:rPr>
      </w:pPr>
    </w:p>
    <w:p w:rsidR="00096AB9" w:rsidRPr="00096AB9" w:rsidRDefault="007511E9" w:rsidP="00096AB9">
      <w:pPr>
        <w:rPr>
          <w:szCs w:val="24"/>
        </w:rPr>
      </w:pPr>
      <w:r>
        <w:rPr>
          <w:szCs w:val="24"/>
        </w:rPr>
        <w:t>T</w:t>
      </w:r>
      <w:r w:rsidR="00096AB9" w:rsidRPr="00096AB9">
        <w:rPr>
          <w:szCs w:val="24"/>
        </w:rPr>
        <w:t>he Patient Protection and Affordable Care Act (PPACA)</w:t>
      </w:r>
      <w:r>
        <w:rPr>
          <w:szCs w:val="24"/>
        </w:rPr>
        <w:t xml:space="preserve"> was</w:t>
      </w:r>
      <w:r w:rsidR="00096AB9" w:rsidRPr="00096AB9">
        <w:rPr>
          <w:szCs w:val="24"/>
        </w:rPr>
        <w:t xml:space="preserve"> signed into law on March </w:t>
      </w:r>
      <w:r w:rsidR="004254A5">
        <w:rPr>
          <w:szCs w:val="24"/>
        </w:rPr>
        <w:t>30</w:t>
      </w:r>
      <w:r w:rsidR="00096AB9" w:rsidRPr="00096AB9">
        <w:rPr>
          <w:szCs w:val="24"/>
        </w:rPr>
        <w:t xml:space="preserve">, </w:t>
      </w:r>
      <w:r>
        <w:rPr>
          <w:szCs w:val="24"/>
        </w:rPr>
        <w:t>2010.  T</w:t>
      </w:r>
      <w:r w:rsidR="00096AB9" w:rsidRPr="00096AB9">
        <w:rPr>
          <w:szCs w:val="24"/>
        </w:rPr>
        <w:t>he Centers for Medicare &amp; Medicaid (CMS) is in the process of implementing the provisions for which it has responsibility.  Several provisions fall within the nursing home program area where the Survey and Certification Group (SCG) has a primary or secondary role to fulfill the mandates of the new law.</w:t>
      </w:r>
    </w:p>
    <w:p w:rsidR="00096AB9" w:rsidRPr="00096AB9" w:rsidRDefault="00096AB9" w:rsidP="00096AB9">
      <w:pPr>
        <w:rPr>
          <w:szCs w:val="24"/>
        </w:rPr>
      </w:pPr>
    </w:p>
    <w:p w:rsidR="00096AB9" w:rsidRDefault="00096AB9" w:rsidP="00096AB9">
      <w:pPr>
        <w:rPr>
          <w:szCs w:val="24"/>
        </w:rPr>
      </w:pPr>
      <w:r>
        <w:rPr>
          <w:szCs w:val="24"/>
        </w:rPr>
        <w:t xml:space="preserve">We would like to invite you to comment, make suggestions, or express concerns about any of the areas for which the Survey &amp; Certification Group has full or partial responsibility.  Some examples of relevant areas of endeavor are listed in the attachment to this letter.  Certain other aspects of the law will require rule-making, and these will be addressed through a separate, public process managed </w:t>
      </w:r>
      <w:r w:rsidR="00D36DED">
        <w:rPr>
          <w:szCs w:val="24"/>
        </w:rPr>
        <w:t xml:space="preserve">primarily </w:t>
      </w:r>
      <w:r>
        <w:rPr>
          <w:szCs w:val="24"/>
        </w:rPr>
        <w:t xml:space="preserve">by the CMS Office of Clinical Standards and Quality. </w:t>
      </w:r>
      <w:r w:rsidR="00D36DED">
        <w:rPr>
          <w:szCs w:val="24"/>
        </w:rPr>
        <w:t xml:space="preserve">  In some instances</w:t>
      </w:r>
      <w:r w:rsidR="004254A5">
        <w:rPr>
          <w:szCs w:val="24"/>
        </w:rPr>
        <w:t>,</w:t>
      </w:r>
      <w:r w:rsidR="00D36DED">
        <w:rPr>
          <w:szCs w:val="24"/>
        </w:rPr>
        <w:t xml:space="preserve"> the rule-making will be preceded by demonstrations or collective study that will create a foundation of experience and knowledge that can inform later efforts.  An example will be S&amp;C’s role in gathering information about effectively-functioning Quality Assurance and Performance Improvement (QAPI) systems in nursing homes.   </w:t>
      </w:r>
    </w:p>
    <w:p w:rsidR="00096AB9" w:rsidRDefault="00096AB9" w:rsidP="00096AB9">
      <w:pPr>
        <w:rPr>
          <w:szCs w:val="24"/>
        </w:rPr>
      </w:pPr>
    </w:p>
    <w:p w:rsidR="00D36DED" w:rsidRDefault="00D36DED" w:rsidP="00096AB9">
      <w:pPr>
        <w:rPr>
          <w:szCs w:val="24"/>
        </w:rPr>
      </w:pPr>
      <w:r>
        <w:rPr>
          <w:szCs w:val="24"/>
        </w:rPr>
        <w:t xml:space="preserve">Some </w:t>
      </w:r>
      <w:r w:rsidR="00096AB9" w:rsidRPr="00096AB9">
        <w:rPr>
          <w:szCs w:val="24"/>
        </w:rPr>
        <w:t xml:space="preserve">provisions </w:t>
      </w:r>
      <w:r>
        <w:rPr>
          <w:szCs w:val="24"/>
        </w:rPr>
        <w:t>of the law require particularly quick action on the part of CMS.   Examples include t</w:t>
      </w:r>
      <w:r w:rsidR="00096AB9" w:rsidRPr="00096AB9">
        <w:rPr>
          <w:szCs w:val="24"/>
        </w:rPr>
        <w:t>he national background check program</w:t>
      </w:r>
      <w:r>
        <w:rPr>
          <w:szCs w:val="24"/>
        </w:rPr>
        <w:t xml:space="preserve">, implementation of civil monetary penalty reforms, posting of 2567 reports on State websites, and implementation of the independent informal dispute resolution systems by States. </w:t>
      </w:r>
      <w:r w:rsidR="00096AB9" w:rsidRPr="00096AB9">
        <w:rPr>
          <w:szCs w:val="24"/>
        </w:rPr>
        <w:t xml:space="preserve"> </w:t>
      </w:r>
    </w:p>
    <w:p w:rsidR="00D36DED" w:rsidRDefault="00D36DED" w:rsidP="00096AB9">
      <w:pPr>
        <w:rPr>
          <w:szCs w:val="24"/>
        </w:rPr>
      </w:pPr>
    </w:p>
    <w:p w:rsidR="007511E9" w:rsidRDefault="004254A5" w:rsidP="00096AB9">
      <w:pPr>
        <w:rPr>
          <w:szCs w:val="24"/>
        </w:rPr>
      </w:pPr>
      <w:r>
        <w:rPr>
          <w:szCs w:val="24"/>
        </w:rPr>
        <w:t xml:space="preserve">While we are open to your input at any time, we are requesting your initial feedback </w:t>
      </w:r>
      <w:r w:rsidR="00096AB9" w:rsidRPr="00096AB9">
        <w:rPr>
          <w:szCs w:val="24"/>
        </w:rPr>
        <w:t xml:space="preserve">to Jenny Filipovits at </w:t>
      </w:r>
      <w:hyperlink r:id="rId6" w:history="1">
        <w:r w:rsidR="00096AB9" w:rsidRPr="00096AB9">
          <w:rPr>
            <w:rStyle w:val="Hyperlink"/>
            <w:szCs w:val="24"/>
          </w:rPr>
          <w:t>jenny.filipovits@cms.hhs.gov</w:t>
        </w:r>
      </w:hyperlink>
      <w:r w:rsidR="00096AB9" w:rsidRPr="00096AB9">
        <w:rPr>
          <w:szCs w:val="24"/>
        </w:rPr>
        <w:t xml:space="preserve">  by </w:t>
      </w:r>
      <w:r w:rsidRPr="004254A5">
        <w:rPr>
          <w:b/>
          <w:szCs w:val="24"/>
          <w:u w:val="single"/>
        </w:rPr>
        <w:t>Wednesday, May 5th</w:t>
      </w:r>
      <w:r w:rsidR="00096AB9" w:rsidRPr="00096AB9">
        <w:rPr>
          <w:szCs w:val="24"/>
        </w:rPr>
        <w:t xml:space="preserve">.    </w:t>
      </w:r>
    </w:p>
    <w:p w:rsidR="007511E9" w:rsidRDefault="007511E9" w:rsidP="00096AB9">
      <w:pPr>
        <w:rPr>
          <w:szCs w:val="24"/>
        </w:rPr>
      </w:pPr>
    </w:p>
    <w:p w:rsidR="00096AB9" w:rsidRPr="00096AB9" w:rsidRDefault="00096AB9" w:rsidP="00096AB9">
      <w:pPr>
        <w:rPr>
          <w:szCs w:val="24"/>
        </w:rPr>
      </w:pPr>
      <w:r w:rsidRPr="00096AB9">
        <w:rPr>
          <w:szCs w:val="24"/>
        </w:rPr>
        <w:t>We look forward to working with each of you as we begin this important work.</w:t>
      </w:r>
    </w:p>
    <w:p w:rsidR="00096AB9" w:rsidRPr="00096AB9" w:rsidRDefault="00096AB9" w:rsidP="00096AB9">
      <w:pPr>
        <w:rPr>
          <w:szCs w:val="24"/>
        </w:rPr>
      </w:pPr>
    </w:p>
    <w:p w:rsidR="00D36DED" w:rsidRDefault="00096AB9" w:rsidP="00096AB9">
      <w:pPr>
        <w:rPr>
          <w:szCs w:val="24"/>
        </w:rPr>
      </w:pPr>
      <w:r w:rsidRPr="00096AB9">
        <w:rPr>
          <w:szCs w:val="24"/>
        </w:rPr>
        <w:tab/>
      </w:r>
      <w:r w:rsidRPr="00096AB9">
        <w:rPr>
          <w:szCs w:val="24"/>
        </w:rPr>
        <w:tab/>
      </w:r>
      <w:r w:rsidRPr="00096AB9">
        <w:rPr>
          <w:szCs w:val="24"/>
        </w:rPr>
        <w:tab/>
      </w:r>
      <w:r w:rsidRPr="00096AB9">
        <w:rPr>
          <w:szCs w:val="24"/>
        </w:rPr>
        <w:tab/>
      </w:r>
      <w:r w:rsidRPr="00096AB9">
        <w:rPr>
          <w:szCs w:val="24"/>
        </w:rPr>
        <w:tab/>
      </w:r>
      <w:r w:rsidRPr="00096AB9">
        <w:rPr>
          <w:szCs w:val="24"/>
        </w:rPr>
        <w:tab/>
      </w:r>
    </w:p>
    <w:p w:rsidR="00096AB9" w:rsidRPr="00096AB9" w:rsidRDefault="00096AB9" w:rsidP="004254A5">
      <w:pPr>
        <w:ind w:left="3600"/>
        <w:rPr>
          <w:szCs w:val="24"/>
        </w:rPr>
      </w:pPr>
      <w:r w:rsidRPr="00096AB9">
        <w:rPr>
          <w:szCs w:val="24"/>
        </w:rPr>
        <w:t>Sincerely Yours,</w:t>
      </w:r>
    </w:p>
    <w:p w:rsidR="00096AB9" w:rsidRPr="00096AB9" w:rsidRDefault="00096AB9" w:rsidP="00096AB9">
      <w:pPr>
        <w:rPr>
          <w:szCs w:val="24"/>
        </w:rPr>
      </w:pPr>
    </w:p>
    <w:p w:rsidR="00096AB9" w:rsidRPr="00096AB9" w:rsidRDefault="00096AB9" w:rsidP="00096AB9">
      <w:pPr>
        <w:rPr>
          <w:szCs w:val="24"/>
        </w:rPr>
      </w:pPr>
    </w:p>
    <w:p w:rsidR="00096AB9" w:rsidRPr="00096AB9" w:rsidRDefault="00096AB9" w:rsidP="00096AB9">
      <w:pPr>
        <w:rPr>
          <w:szCs w:val="24"/>
        </w:rPr>
      </w:pPr>
    </w:p>
    <w:p w:rsidR="004254A5" w:rsidRDefault="00096AB9" w:rsidP="00096AB9">
      <w:pPr>
        <w:rPr>
          <w:szCs w:val="24"/>
        </w:rPr>
      </w:pPr>
      <w:r w:rsidRPr="00096AB9">
        <w:rPr>
          <w:szCs w:val="24"/>
        </w:rPr>
        <w:tab/>
      </w:r>
      <w:r w:rsidRPr="00096AB9">
        <w:rPr>
          <w:szCs w:val="24"/>
        </w:rPr>
        <w:tab/>
      </w:r>
      <w:r w:rsidRPr="00096AB9">
        <w:rPr>
          <w:szCs w:val="24"/>
        </w:rPr>
        <w:tab/>
      </w:r>
      <w:r w:rsidRPr="00096AB9">
        <w:rPr>
          <w:szCs w:val="24"/>
        </w:rPr>
        <w:tab/>
      </w:r>
      <w:r w:rsidRPr="00096AB9">
        <w:rPr>
          <w:szCs w:val="24"/>
        </w:rPr>
        <w:tab/>
        <w:t>Thomas E. Hamilton</w:t>
      </w:r>
    </w:p>
    <w:p w:rsidR="00096AB9" w:rsidRPr="00096AB9" w:rsidRDefault="00096AB9" w:rsidP="004254A5">
      <w:pPr>
        <w:ind w:left="3600"/>
        <w:rPr>
          <w:szCs w:val="24"/>
        </w:rPr>
      </w:pPr>
      <w:r w:rsidRPr="00096AB9">
        <w:rPr>
          <w:szCs w:val="24"/>
        </w:rPr>
        <w:t>Director</w:t>
      </w:r>
    </w:p>
    <w:p w:rsidR="00096AB9" w:rsidRPr="00096AB9" w:rsidRDefault="00096AB9" w:rsidP="00096AB9">
      <w:pPr>
        <w:rPr>
          <w:szCs w:val="24"/>
        </w:rPr>
      </w:pPr>
    </w:p>
    <w:p w:rsidR="00932C89" w:rsidRDefault="00932C89" w:rsidP="00E67D9B">
      <w:pPr>
        <w:rPr>
          <w:szCs w:val="24"/>
        </w:rPr>
        <w:sectPr w:rsidR="00932C89">
          <w:endnotePr>
            <w:numFmt w:val="decimal"/>
          </w:endnotePr>
          <w:pgSz w:w="12240" w:h="15840" w:code="1"/>
          <w:pgMar w:top="1008" w:right="1397" w:bottom="1152" w:left="1397" w:header="1152" w:footer="1152" w:gutter="0"/>
          <w:noEndnote/>
        </w:sectPr>
      </w:pPr>
    </w:p>
    <w:p w:rsidR="00096AB9" w:rsidRPr="00096AB9" w:rsidRDefault="00096AB9" w:rsidP="00E67D9B">
      <w:pPr>
        <w:rPr>
          <w:b/>
          <w:szCs w:val="24"/>
        </w:rPr>
      </w:pPr>
      <w:r w:rsidRPr="00096AB9">
        <w:rPr>
          <w:b/>
          <w:szCs w:val="24"/>
        </w:rPr>
        <w:t>Attachment: Examples of Key Areas of the Health Care Reform Legislation</w:t>
      </w:r>
    </w:p>
    <w:p w:rsidR="00096AB9" w:rsidRPr="00096AB9" w:rsidRDefault="00096AB9" w:rsidP="00096AB9">
      <w:pPr>
        <w:shd w:val="clear" w:color="auto" w:fill="BFBFBF"/>
        <w:jc w:val="center"/>
        <w:rPr>
          <w:b/>
          <w:szCs w:val="24"/>
        </w:rPr>
      </w:pPr>
      <w:r w:rsidRPr="00096AB9">
        <w:rPr>
          <w:b/>
          <w:szCs w:val="24"/>
        </w:rPr>
        <w:t>Affecting Nursing homes.</w:t>
      </w:r>
    </w:p>
    <w:p w:rsidR="00096AB9" w:rsidRPr="00096AB9" w:rsidRDefault="00096AB9" w:rsidP="00096AB9">
      <w:pPr>
        <w:rPr>
          <w:szCs w:val="24"/>
        </w:rPr>
      </w:pPr>
    </w:p>
    <w:p w:rsidR="00096AB9" w:rsidRPr="00096AB9" w:rsidRDefault="00096AB9" w:rsidP="00096AB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6101 – Disclosure of Ownership</w:t>
      </w:r>
      <w:r w:rsidRPr="00096AB9">
        <w:rPr>
          <w:rFonts w:ascii="Times New Roman" w:hAnsi="Times New Roman"/>
          <w:sz w:val="24"/>
          <w:szCs w:val="24"/>
        </w:rPr>
        <w:t xml:space="preserve"> – </w:t>
      </w:r>
      <w:r w:rsidR="00485C71">
        <w:rPr>
          <w:rFonts w:ascii="Times New Roman" w:hAnsi="Times New Roman"/>
          <w:sz w:val="24"/>
          <w:szCs w:val="24"/>
        </w:rPr>
        <w:t>N</w:t>
      </w:r>
      <w:r w:rsidRPr="00096AB9">
        <w:rPr>
          <w:rFonts w:ascii="Times New Roman" w:hAnsi="Times New Roman"/>
          <w:sz w:val="24"/>
          <w:szCs w:val="24"/>
        </w:rPr>
        <w:t xml:space="preserve">ursing homes will be required to disclose to HHS, State, Ombudsman and Office of the Inspector General information concerning names of owners, members of governing body, officers, directors, partners, managing employees; organizational structure; and certain other ownership information.  </w:t>
      </w:r>
      <w:r>
        <w:rPr>
          <w:rFonts w:ascii="Times New Roman" w:hAnsi="Times New Roman"/>
          <w:sz w:val="24"/>
          <w:szCs w:val="24"/>
        </w:rPr>
        <w:t xml:space="preserve">The primary role of the Survey &amp; Certification Group will be to </w:t>
      </w:r>
      <w:r w:rsidR="00D36DED">
        <w:rPr>
          <w:rFonts w:ascii="Times New Roman" w:hAnsi="Times New Roman"/>
          <w:sz w:val="24"/>
          <w:szCs w:val="24"/>
        </w:rPr>
        <w:t>identify user needs, identify survey &amp; certification information system adjustments</w:t>
      </w:r>
      <w:r w:rsidR="00BF3A0E">
        <w:rPr>
          <w:rFonts w:ascii="Times New Roman" w:hAnsi="Times New Roman"/>
          <w:sz w:val="24"/>
          <w:szCs w:val="24"/>
        </w:rPr>
        <w:t xml:space="preserve"> necessary to make the most effective use of the data, and linking quality of care performance information with ownership data.  </w:t>
      </w:r>
    </w:p>
    <w:p w:rsidR="00096AB9" w:rsidRPr="00096AB9" w:rsidRDefault="00096AB9" w:rsidP="00096AB9">
      <w:pPr>
        <w:rPr>
          <w:szCs w:val="24"/>
        </w:rPr>
      </w:pPr>
    </w:p>
    <w:p w:rsidR="00096AB9" w:rsidRPr="00096AB9" w:rsidRDefault="00096AB9" w:rsidP="00096AB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 xml:space="preserve">Section 6102 </w:t>
      </w:r>
      <w:r w:rsidRPr="00096AB9">
        <w:rPr>
          <w:rFonts w:ascii="Times New Roman" w:hAnsi="Times New Roman"/>
          <w:sz w:val="24"/>
          <w:szCs w:val="24"/>
        </w:rPr>
        <w:t xml:space="preserve">– </w:t>
      </w:r>
      <w:r w:rsidRPr="00096AB9">
        <w:rPr>
          <w:rFonts w:ascii="Times New Roman" w:hAnsi="Times New Roman"/>
          <w:b/>
          <w:sz w:val="24"/>
          <w:szCs w:val="24"/>
        </w:rPr>
        <w:t>Ethics and Compliance Programs</w:t>
      </w:r>
      <w:r w:rsidRPr="00096AB9">
        <w:rPr>
          <w:rFonts w:ascii="Times New Roman" w:hAnsi="Times New Roman"/>
          <w:sz w:val="24"/>
          <w:szCs w:val="24"/>
        </w:rPr>
        <w:t xml:space="preserve"> – </w:t>
      </w:r>
      <w:r w:rsidR="00BF3A0E">
        <w:rPr>
          <w:rFonts w:ascii="Times New Roman" w:hAnsi="Times New Roman"/>
          <w:sz w:val="24"/>
          <w:szCs w:val="24"/>
        </w:rPr>
        <w:t xml:space="preserve">The new law requires most nursing homes to have </w:t>
      </w:r>
      <w:r w:rsidRPr="00096AB9">
        <w:rPr>
          <w:rFonts w:ascii="Times New Roman" w:hAnsi="Times New Roman"/>
          <w:sz w:val="24"/>
          <w:szCs w:val="24"/>
        </w:rPr>
        <w:t xml:space="preserve">an effective compliance and ethics program for purposes of preventing and detecting criminal, civil, and administrative violations.  For organizations with more than 5 nursing homes a more formal program is required.   </w:t>
      </w:r>
      <w:r>
        <w:rPr>
          <w:rFonts w:ascii="Times New Roman" w:hAnsi="Times New Roman"/>
          <w:sz w:val="24"/>
          <w:szCs w:val="24"/>
        </w:rPr>
        <w:t xml:space="preserve">The primary role of the Survey &amp; Certification Group will be to </w:t>
      </w:r>
      <w:r w:rsidR="00BF3A0E">
        <w:rPr>
          <w:rFonts w:ascii="Times New Roman" w:hAnsi="Times New Roman"/>
          <w:sz w:val="24"/>
          <w:szCs w:val="24"/>
        </w:rPr>
        <w:t xml:space="preserve">identify experience and resources and other essentials for an effective system. </w:t>
      </w:r>
    </w:p>
    <w:p w:rsidR="00096AB9" w:rsidRPr="00096AB9" w:rsidRDefault="00096AB9" w:rsidP="00096AB9">
      <w:pPr>
        <w:pStyle w:val="ListParagraph"/>
        <w:spacing w:line="240" w:lineRule="auto"/>
        <w:ind w:left="360"/>
        <w:rPr>
          <w:rFonts w:ascii="Times New Roman" w:hAnsi="Times New Roman"/>
          <w:sz w:val="24"/>
          <w:szCs w:val="24"/>
        </w:rPr>
      </w:pPr>
    </w:p>
    <w:p w:rsidR="00096AB9" w:rsidRPr="00096AB9" w:rsidRDefault="00096AB9" w:rsidP="00096AB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6102 – Quality Assurance and Performance Improvement Program</w:t>
      </w:r>
      <w:r w:rsidRPr="00096AB9">
        <w:rPr>
          <w:rFonts w:ascii="Times New Roman" w:hAnsi="Times New Roman"/>
          <w:sz w:val="24"/>
          <w:szCs w:val="24"/>
        </w:rPr>
        <w:t xml:space="preserve"> – </w:t>
      </w:r>
      <w:r w:rsidR="00BF3A0E">
        <w:rPr>
          <w:rFonts w:ascii="Times New Roman" w:hAnsi="Times New Roman"/>
          <w:sz w:val="24"/>
          <w:szCs w:val="24"/>
        </w:rPr>
        <w:t xml:space="preserve">Each nursing home will be required to have an effectively-functioning </w:t>
      </w:r>
      <w:r w:rsidRPr="00096AB9">
        <w:rPr>
          <w:rFonts w:ascii="Times New Roman" w:hAnsi="Times New Roman"/>
          <w:sz w:val="24"/>
          <w:szCs w:val="24"/>
        </w:rPr>
        <w:t xml:space="preserve">to quality assurance and performance improvement </w:t>
      </w:r>
      <w:r w:rsidR="00BF3A0E">
        <w:rPr>
          <w:rFonts w:ascii="Times New Roman" w:hAnsi="Times New Roman"/>
          <w:sz w:val="24"/>
          <w:szCs w:val="24"/>
        </w:rPr>
        <w:t xml:space="preserve">(QAPI) system.  </w:t>
      </w:r>
      <w:r w:rsidRPr="00096AB9">
        <w:rPr>
          <w:rFonts w:ascii="Times New Roman" w:hAnsi="Times New Roman"/>
          <w:sz w:val="24"/>
          <w:szCs w:val="24"/>
        </w:rPr>
        <w:t xml:space="preserve"> </w:t>
      </w:r>
      <w:r w:rsidR="00BF3A0E">
        <w:rPr>
          <w:rFonts w:ascii="Times New Roman" w:hAnsi="Times New Roman"/>
          <w:sz w:val="24"/>
          <w:szCs w:val="24"/>
        </w:rPr>
        <w:t xml:space="preserve">The primary role of the Survey &amp; Certification Group will be to identify experience and resources and other essentials for an effective system. </w:t>
      </w:r>
    </w:p>
    <w:p w:rsidR="00096AB9" w:rsidRPr="00096AB9" w:rsidRDefault="00096AB9" w:rsidP="00096AB9">
      <w:pPr>
        <w:pStyle w:val="ListParagraph"/>
        <w:spacing w:line="240" w:lineRule="auto"/>
        <w:ind w:left="360"/>
        <w:rPr>
          <w:rFonts w:ascii="Times New Roman" w:hAnsi="Times New Roman"/>
          <w:sz w:val="24"/>
          <w:szCs w:val="24"/>
        </w:rPr>
      </w:pPr>
    </w:p>
    <w:p w:rsidR="00096AB9" w:rsidRPr="00BF3A0E" w:rsidRDefault="00096AB9" w:rsidP="00096AB9">
      <w:pPr>
        <w:pStyle w:val="ListParagraph"/>
        <w:spacing w:after="0" w:line="240" w:lineRule="auto"/>
        <w:ind w:left="0"/>
        <w:rPr>
          <w:rFonts w:ascii="Times New Roman" w:hAnsi="Times New Roman"/>
          <w:i/>
          <w:sz w:val="24"/>
          <w:szCs w:val="24"/>
        </w:rPr>
      </w:pPr>
      <w:r w:rsidRPr="00096AB9">
        <w:rPr>
          <w:rFonts w:ascii="Times New Roman" w:hAnsi="Times New Roman"/>
          <w:b/>
          <w:sz w:val="24"/>
          <w:szCs w:val="24"/>
        </w:rPr>
        <w:t>Section 6103 – Nursing Home Compare Website</w:t>
      </w:r>
      <w:r w:rsidRPr="00096AB9">
        <w:rPr>
          <w:rFonts w:ascii="Times New Roman" w:hAnsi="Times New Roman"/>
          <w:sz w:val="24"/>
          <w:szCs w:val="24"/>
        </w:rPr>
        <w:t xml:space="preserve"> – </w:t>
      </w:r>
      <w:r w:rsidR="00485C71">
        <w:rPr>
          <w:rFonts w:ascii="Times New Roman" w:hAnsi="Times New Roman"/>
          <w:sz w:val="24"/>
          <w:szCs w:val="24"/>
        </w:rPr>
        <w:t>The law r</w:t>
      </w:r>
      <w:r w:rsidRPr="00096AB9">
        <w:rPr>
          <w:rFonts w:ascii="Times New Roman" w:hAnsi="Times New Roman"/>
          <w:sz w:val="24"/>
          <w:szCs w:val="24"/>
        </w:rPr>
        <w:t>equires HHS to include additional information including staffing, links to State internet sites, information on complaints and number of criminal violations by nursing homes or their employees.  The law requires HHS to develop a process to improve the website and seek consultation from stakeholder groups.  The law also requires States to maintain a consumer-oriented website that includes the Statements of Deficiencies and Plans of Correction.</w:t>
      </w:r>
      <w:r>
        <w:rPr>
          <w:rFonts w:ascii="Times New Roman" w:hAnsi="Times New Roman"/>
          <w:sz w:val="24"/>
          <w:szCs w:val="24"/>
        </w:rPr>
        <w:t xml:space="preserve">  The primary role of the Survey &amp; Certification Group will be to </w:t>
      </w:r>
      <w:r w:rsidR="00BF3A0E">
        <w:rPr>
          <w:rFonts w:ascii="Times New Roman" w:hAnsi="Times New Roman"/>
          <w:sz w:val="24"/>
          <w:szCs w:val="24"/>
        </w:rPr>
        <w:t xml:space="preserve">work with States and to arrange for the necessary data to be published on the </w:t>
      </w:r>
      <w:r w:rsidR="00BF3A0E" w:rsidRPr="00BF3A0E">
        <w:rPr>
          <w:rFonts w:ascii="Times New Roman" w:hAnsi="Times New Roman"/>
          <w:i/>
          <w:sz w:val="24"/>
          <w:szCs w:val="24"/>
        </w:rPr>
        <w:t>Nursing Home Compare</w:t>
      </w:r>
      <w:r w:rsidR="00BF3A0E">
        <w:rPr>
          <w:rFonts w:ascii="Times New Roman" w:hAnsi="Times New Roman"/>
          <w:sz w:val="24"/>
          <w:szCs w:val="24"/>
        </w:rPr>
        <w:t xml:space="preserve"> website</w:t>
      </w:r>
      <w:r w:rsidR="00BF3A0E" w:rsidRPr="00BF3A0E">
        <w:rPr>
          <w:rFonts w:ascii="Times New Roman" w:hAnsi="Times New Roman"/>
          <w:i/>
          <w:sz w:val="24"/>
          <w:szCs w:val="24"/>
        </w:rPr>
        <w:t xml:space="preserve">.  </w:t>
      </w:r>
    </w:p>
    <w:p w:rsidR="00096AB9" w:rsidRPr="00096AB9" w:rsidRDefault="00096AB9" w:rsidP="00096AB9">
      <w:pPr>
        <w:pStyle w:val="ListParagraph"/>
        <w:spacing w:after="0" w:line="240" w:lineRule="auto"/>
        <w:ind w:left="0"/>
        <w:rPr>
          <w:rFonts w:ascii="Times New Roman" w:hAnsi="Times New Roman"/>
          <w:sz w:val="24"/>
          <w:szCs w:val="24"/>
        </w:rPr>
      </w:pPr>
    </w:p>
    <w:p w:rsidR="00096AB9" w:rsidRPr="00096AB9" w:rsidRDefault="00096AB9" w:rsidP="00096AB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6105 – Standardized Complaint Form</w:t>
      </w:r>
      <w:r w:rsidRPr="00096AB9">
        <w:rPr>
          <w:rFonts w:ascii="Times New Roman" w:hAnsi="Times New Roman"/>
          <w:sz w:val="24"/>
          <w:szCs w:val="24"/>
        </w:rPr>
        <w:t xml:space="preserve"> – </w:t>
      </w:r>
      <w:r w:rsidR="00485C71">
        <w:rPr>
          <w:rFonts w:ascii="Times New Roman" w:hAnsi="Times New Roman"/>
          <w:sz w:val="24"/>
          <w:szCs w:val="24"/>
        </w:rPr>
        <w:t>The law r</w:t>
      </w:r>
      <w:r w:rsidRPr="00096AB9">
        <w:rPr>
          <w:rFonts w:ascii="Times New Roman" w:hAnsi="Times New Roman"/>
          <w:sz w:val="24"/>
          <w:szCs w:val="24"/>
        </w:rPr>
        <w:t>equires HHS to develop a standardized complaint form and complaint resolution process.</w:t>
      </w:r>
      <w:r>
        <w:rPr>
          <w:rFonts w:ascii="Times New Roman" w:hAnsi="Times New Roman"/>
          <w:sz w:val="24"/>
          <w:szCs w:val="24"/>
        </w:rPr>
        <w:t xml:space="preserve">  The primary role of the Survey &amp; Certification Group will be to </w:t>
      </w:r>
      <w:r w:rsidR="00BF3A0E">
        <w:rPr>
          <w:rFonts w:ascii="Times New Roman" w:hAnsi="Times New Roman"/>
          <w:sz w:val="24"/>
          <w:szCs w:val="24"/>
        </w:rPr>
        <w:t xml:space="preserve">develop the complaint form and make it readily available. </w:t>
      </w:r>
    </w:p>
    <w:p w:rsidR="00096AB9" w:rsidRPr="00096AB9" w:rsidRDefault="00096AB9" w:rsidP="00096AB9">
      <w:pPr>
        <w:pStyle w:val="ListParagraph"/>
        <w:spacing w:after="0" w:line="240" w:lineRule="auto"/>
        <w:ind w:left="0"/>
        <w:rPr>
          <w:rFonts w:ascii="Times New Roman" w:hAnsi="Times New Roman"/>
          <w:sz w:val="24"/>
          <w:szCs w:val="24"/>
        </w:rPr>
      </w:pPr>
    </w:p>
    <w:p w:rsidR="00096AB9" w:rsidRPr="00096AB9" w:rsidRDefault="00096AB9" w:rsidP="00096AB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6106 – Ensuring Staffing Accountability</w:t>
      </w:r>
      <w:r w:rsidRPr="00096AB9">
        <w:rPr>
          <w:rFonts w:ascii="Times New Roman" w:hAnsi="Times New Roman"/>
          <w:sz w:val="24"/>
          <w:szCs w:val="24"/>
        </w:rPr>
        <w:t xml:space="preserve"> – After public consultation, </w:t>
      </w:r>
      <w:r w:rsidR="00BF3A0E">
        <w:rPr>
          <w:rFonts w:ascii="Times New Roman" w:hAnsi="Times New Roman"/>
          <w:sz w:val="24"/>
          <w:szCs w:val="24"/>
        </w:rPr>
        <w:t xml:space="preserve">the law </w:t>
      </w:r>
      <w:r w:rsidRPr="00096AB9">
        <w:rPr>
          <w:rFonts w:ascii="Times New Roman" w:hAnsi="Times New Roman"/>
          <w:sz w:val="24"/>
          <w:szCs w:val="24"/>
        </w:rPr>
        <w:t>requires HHS to require nursing homes to electronically submit direct care staffing information based on payroll data in a uniform format.  The data specifications will detail the category of work, resident census data on residential case mix, regular reporting schedule and include information on employee turnover, tenure, and hours of care provided by each category of certified employee.</w:t>
      </w:r>
      <w:r>
        <w:rPr>
          <w:rFonts w:ascii="Times New Roman" w:hAnsi="Times New Roman"/>
          <w:sz w:val="24"/>
          <w:szCs w:val="24"/>
        </w:rPr>
        <w:t xml:space="preserve">  The primary role of the Survey &amp; Certification Group will be to </w:t>
      </w:r>
      <w:r w:rsidR="00BF3A0E">
        <w:rPr>
          <w:rFonts w:ascii="Times New Roman" w:hAnsi="Times New Roman"/>
          <w:sz w:val="24"/>
          <w:szCs w:val="24"/>
        </w:rPr>
        <w:t>design and implement this system.</w:t>
      </w:r>
    </w:p>
    <w:p w:rsidR="00096AB9" w:rsidRPr="00096AB9" w:rsidRDefault="00096AB9" w:rsidP="00096AB9">
      <w:pPr>
        <w:pStyle w:val="ListParagraph"/>
        <w:spacing w:after="0" w:line="240" w:lineRule="auto"/>
        <w:ind w:left="0"/>
        <w:rPr>
          <w:rFonts w:ascii="Times New Roman" w:hAnsi="Times New Roman"/>
          <w:sz w:val="24"/>
          <w:szCs w:val="24"/>
        </w:rPr>
      </w:pPr>
    </w:p>
    <w:p w:rsidR="00096AB9" w:rsidRPr="00096AB9" w:rsidRDefault="00096AB9" w:rsidP="00096AB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6111 – Civil Money Penalties</w:t>
      </w:r>
      <w:r w:rsidRPr="00096AB9">
        <w:rPr>
          <w:rFonts w:ascii="Times New Roman" w:hAnsi="Times New Roman"/>
          <w:sz w:val="24"/>
          <w:szCs w:val="24"/>
        </w:rPr>
        <w:t xml:space="preserve"> – </w:t>
      </w:r>
      <w:r w:rsidR="00485C71">
        <w:rPr>
          <w:rFonts w:ascii="Times New Roman" w:hAnsi="Times New Roman"/>
          <w:sz w:val="24"/>
          <w:szCs w:val="24"/>
        </w:rPr>
        <w:t>T</w:t>
      </w:r>
      <w:r w:rsidR="00BF3A0E">
        <w:rPr>
          <w:rFonts w:ascii="Times New Roman" w:hAnsi="Times New Roman"/>
          <w:sz w:val="24"/>
          <w:szCs w:val="24"/>
        </w:rPr>
        <w:t>he law p</w:t>
      </w:r>
      <w:r w:rsidRPr="00096AB9">
        <w:rPr>
          <w:rFonts w:ascii="Times New Roman" w:hAnsi="Times New Roman"/>
          <w:sz w:val="24"/>
          <w:szCs w:val="24"/>
        </w:rPr>
        <w:t>rovides that CMPs may be reduced in certain situations when self-reported, prohibits reduction of CMPs in other situations, and establishes the option for CMPs to be collected prior to a formal hearing and deposited into an escrow account.   States are required to make an independent informal dispute resolution available upon request.  Finally, the law provides more uses for collected CMPs and specifies that the Secretary approve the use of CMPs.</w:t>
      </w:r>
      <w:r>
        <w:rPr>
          <w:rFonts w:ascii="Times New Roman" w:hAnsi="Times New Roman"/>
          <w:sz w:val="24"/>
          <w:szCs w:val="24"/>
        </w:rPr>
        <w:t xml:space="preserve">  The primary role of the Survey &amp; Certification Group will be to </w:t>
      </w:r>
      <w:r w:rsidR="00BF3A0E">
        <w:rPr>
          <w:rFonts w:ascii="Times New Roman" w:hAnsi="Times New Roman"/>
          <w:sz w:val="24"/>
          <w:szCs w:val="24"/>
        </w:rPr>
        <w:t xml:space="preserve">work with States to ensure implementation of the revised CMP system and the independent informal dispute systems. </w:t>
      </w:r>
    </w:p>
    <w:p w:rsidR="00096AB9" w:rsidRPr="00096AB9" w:rsidRDefault="00096AB9" w:rsidP="00096AB9">
      <w:pPr>
        <w:pStyle w:val="ListParagraph"/>
        <w:spacing w:line="240" w:lineRule="auto"/>
        <w:ind w:left="360"/>
        <w:rPr>
          <w:rFonts w:ascii="Times New Roman" w:hAnsi="Times New Roman"/>
          <w:sz w:val="24"/>
          <w:szCs w:val="24"/>
        </w:rPr>
      </w:pPr>
    </w:p>
    <w:p w:rsidR="00096AB9" w:rsidRPr="00096AB9" w:rsidRDefault="00096AB9" w:rsidP="00096AB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6113 – Notification of Facility Closure</w:t>
      </w:r>
      <w:r w:rsidRPr="00096AB9">
        <w:rPr>
          <w:rFonts w:ascii="Times New Roman" w:hAnsi="Times New Roman"/>
          <w:sz w:val="24"/>
          <w:szCs w:val="24"/>
        </w:rPr>
        <w:t xml:space="preserve"> </w:t>
      </w:r>
      <w:r w:rsidR="00BF3A0E">
        <w:rPr>
          <w:rFonts w:ascii="Times New Roman" w:hAnsi="Times New Roman"/>
          <w:sz w:val="24"/>
          <w:szCs w:val="24"/>
        </w:rPr>
        <w:t>–</w:t>
      </w:r>
      <w:r w:rsidRPr="00096AB9">
        <w:rPr>
          <w:rFonts w:ascii="Times New Roman" w:hAnsi="Times New Roman"/>
          <w:sz w:val="24"/>
          <w:szCs w:val="24"/>
        </w:rPr>
        <w:t xml:space="preserve"> </w:t>
      </w:r>
      <w:r w:rsidR="00BF3A0E">
        <w:rPr>
          <w:rFonts w:ascii="Times New Roman" w:hAnsi="Times New Roman"/>
          <w:sz w:val="24"/>
          <w:szCs w:val="24"/>
        </w:rPr>
        <w:t>The law r</w:t>
      </w:r>
      <w:r w:rsidRPr="00096AB9">
        <w:rPr>
          <w:rFonts w:ascii="Times New Roman" w:hAnsi="Times New Roman"/>
          <w:sz w:val="24"/>
          <w:szCs w:val="24"/>
        </w:rPr>
        <w:t xml:space="preserve">equires that a nursing home administrator must submit written notice of impending closure (60 days prior to closure) to HHS, State long-term care ombudsman, facility residents, and other responsible parties.   Nursing homes would be prohibited from admitting any new residents on or after the date of the written notice.  Nursing homes must include in the notice a plan for the transfer and adequate relocation of residents.  Payments may be continued until the resident is successfully relocated.  Administrators that fail to comply with these notice requirements are subject to a CMP not to exceed $100,000 and may be subject to exclusion for participation in any Federal health care program. </w:t>
      </w:r>
      <w:r>
        <w:rPr>
          <w:rFonts w:ascii="Times New Roman" w:hAnsi="Times New Roman"/>
          <w:sz w:val="24"/>
          <w:szCs w:val="24"/>
        </w:rPr>
        <w:t xml:space="preserve"> The primary role of the Survey &amp; Certification Group will be to </w:t>
      </w:r>
      <w:r w:rsidR="00BF3A0E">
        <w:rPr>
          <w:rFonts w:ascii="Times New Roman" w:hAnsi="Times New Roman"/>
          <w:sz w:val="24"/>
          <w:szCs w:val="24"/>
        </w:rPr>
        <w:t xml:space="preserve">implement the new requirements in collaboration with States. </w:t>
      </w:r>
    </w:p>
    <w:p w:rsidR="00096AB9" w:rsidRPr="00096AB9" w:rsidRDefault="00096AB9" w:rsidP="00096AB9">
      <w:pPr>
        <w:pStyle w:val="ListParagraph"/>
        <w:spacing w:after="0" w:line="240" w:lineRule="auto"/>
        <w:ind w:left="0"/>
        <w:rPr>
          <w:rFonts w:ascii="Times New Roman" w:hAnsi="Times New Roman"/>
          <w:sz w:val="24"/>
          <w:szCs w:val="24"/>
        </w:rPr>
      </w:pPr>
    </w:p>
    <w:p w:rsidR="00096AB9" w:rsidRPr="00096AB9" w:rsidRDefault="00096AB9" w:rsidP="00096AB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6114 – National Demonstration Projects on Culture Change and Use of Information Technology in Nursing Homes</w:t>
      </w:r>
      <w:r w:rsidRPr="00096AB9">
        <w:rPr>
          <w:rFonts w:ascii="Times New Roman" w:hAnsi="Times New Roman"/>
          <w:sz w:val="24"/>
          <w:szCs w:val="24"/>
        </w:rPr>
        <w:t xml:space="preserve"> – </w:t>
      </w:r>
      <w:r w:rsidR="00485C71">
        <w:rPr>
          <w:rFonts w:ascii="Times New Roman" w:hAnsi="Times New Roman"/>
          <w:sz w:val="24"/>
          <w:szCs w:val="24"/>
        </w:rPr>
        <w:t>T</w:t>
      </w:r>
      <w:r w:rsidR="00BF3A0E">
        <w:rPr>
          <w:rFonts w:ascii="Times New Roman" w:hAnsi="Times New Roman"/>
          <w:sz w:val="24"/>
          <w:szCs w:val="24"/>
        </w:rPr>
        <w:t>he law re</w:t>
      </w:r>
      <w:r w:rsidRPr="00096AB9">
        <w:rPr>
          <w:rFonts w:ascii="Times New Roman" w:hAnsi="Times New Roman"/>
          <w:sz w:val="24"/>
          <w:szCs w:val="24"/>
        </w:rPr>
        <w:t>quires HHS to conduct 2 demonstration projects to develop best practices.  One demonstration project</w:t>
      </w:r>
      <w:r w:rsidR="004254A5">
        <w:rPr>
          <w:rFonts w:ascii="Times New Roman" w:hAnsi="Times New Roman"/>
          <w:sz w:val="24"/>
          <w:szCs w:val="24"/>
        </w:rPr>
        <w:t xml:space="preserve"> is</w:t>
      </w:r>
      <w:r w:rsidRPr="00096AB9">
        <w:rPr>
          <w:rFonts w:ascii="Times New Roman" w:hAnsi="Times New Roman"/>
          <w:sz w:val="24"/>
          <w:szCs w:val="24"/>
        </w:rPr>
        <w:t xml:space="preserve"> for the development of best practices in nursing homes involved in the culture change movement (including the development of resources for facilities to find and access funding in order to undertake culture change).  The second demonstration project will develop best practices for the use of information technology to improve resident care.</w:t>
      </w:r>
      <w:r>
        <w:rPr>
          <w:rFonts w:ascii="Times New Roman" w:hAnsi="Times New Roman"/>
          <w:sz w:val="24"/>
          <w:szCs w:val="24"/>
        </w:rPr>
        <w:t xml:space="preserve">  </w:t>
      </w:r>
    </w:p>
    <w:p w:rsidR="00096AB9" w:rsidRPr="00096AB9" w:rsidRDefault="00096AB9" w:rsidP="00096AB9">
      <w:pPr>
        <w:pStyle w:val="ListParagraph"/>
        <w:spacing w:line="240" w:lineRule="auto"/>
        <w:ind w:left="360"/>
        <w:rPr>
          <w:rFonts w:ascii="Times New Roman" w:hAnsi="Times New Roman"/>
          <w:sz w:val="24"/>
          <w:szCs w:val="24"/>
        </w:rPr>
      </w:pPr>
    </w:p>
    <w:p w:rsidR="00096AB9" w:rsidRPr="00096AB9" w:rsidRDefault="00096AB9" w:rsidP="00096AB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6121 – Dementia and Abuse Prevention Training</w:t>
      </w:r>
      <w:r w:rsidRPr="00096AB9">
        <w:rPr>
          <w:rFonts w:ascii="Times New Roman" w:hAnsi="Times New Roman"/>
          <w:sz w:val="24"/>
          <w:szCs w:val="24"/>
        </w:rPr>
        <w:t xml:space="preserve"> – </w:t>
      </w:r>
      <w:r w:rsidR="00BF3A0E">
        <w:rPr>
          <w:rFonts w:ascii="Times New Roman" w:hAnsi="Times New Roman"/>
          <w:sz w:val="24"/>
          <w:szCs w:val="24"/>
        </w:rPr>
        <w:t>The law c</w:t>
      </w:r>
      <w:r w:rsidRPr="00096AB9">
        <w:rPr>
          <w:rFonts w:ascii="Times New Roman" w:hAnsi="Times New Roman"/>
          <w:sz w:val="24"/>
          <w:szCs w:val="24"/>
        </w:rPr>
        <w:t>larifies the definition of a nurse aide to include contract staff and requires that dementia and abuse prevention training be included in initial and, if the Secretary determines appropriate, ongoing training.</w:t>
      </w:r>
      <w:r>
        <w:rPr>
          <w:rFonts w:ascii="Times New Roman" w:hAnsi="Times New Roman"/>
          <w:sz w:val="24"/>
          <w:szCs w:val="24"/>
        </w:rPr>
        <w:t xml:space="preserve">  </w:t>
      </w:r>
    </w:p>
    <w:p w:rsidR="00096AB9" w:rsidRPr="00096AB9" w:rsidRDefault="00096AB9" w:rsidP="00096AB9">
      <w:pPr>
        <w:pStyle w:val="ListParagraph"/>
        <w:spacing w:line="240" w:lineRule="auto"/>
        <w:ind w:left="360"/>
        <w:rPr>
          <w:rFonts w:ascii="Times New Roman" w:hAnsi="Times New Roman"/>
          <w:sz w:val="24"/>
          <w:szCs w:val="24"/>
        </w:rPr>
      </w:pPr>
    </w:p>
    <w:p w:rsidR="00096AB9" w:rsidRPr="00096AB9" w:rsidRDefault="00096AB9" w:rsidP="00096AB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6201 – Nationwide program for national and state background checks on direct patient access employees of long-term care facilities and providers</w:t>
      </w:r>
      <w:r w:rsidRPr="00096AB9">
        <w:rPr>
          <w:rFonts w:ascii="Times New Roman" w:hAnsi="Times New Roman"/>
          <w:sz w:val="24"/>
          <w:szCs w:val="24"/>
        </w:rPr>
        <w:t xml:space="preserve"> – </w:t>
      </w:r>
      <w:r w:rsidR="00485C71">
        <w:rPr>
          <w:rFonts w:ascii="Times New Roman" w:hAnsi="Times New Roman"/>
          <w:sz w:val="24"/>
          <w:szCs w:val="24"/>
        </w:rPr>
        <w:t>The law p</w:t>
      </w:r>
      <w:r w:rsidRPr="00096AB9">
        <w:rPr>
          <w:rFonts w:ascii="Times New Roman" w:hAnsi="Times New Roman"/>
          <w:sz w:val="24"/>
          <w:szCs w:val="24"/>
        </w:rPr>
        <w:t>rovides funds for States to participate in a background check program using concepts developed under CMS pilot through the Medicare Prescription Drug, Improvement and Modernization Act of 2003. States that did not previously participate can receive up to $3M in matching funds while previously participating States can receive up to $1.5M.  An evaluation by the OIG is required at the conclusion of the program.</w:t>
      </w:r>
      <w:r>
        <w:rPr>
          <w:rFonts w:ascii="Times New Roman" w:hAnsi="Times New Roman"/>
          <w:sz w:val="24"/>
          <w:szCs w:val="24"/>
        </w:rPr>
        <w:t xml:space="preserve">  The primary role of the Survey &amp; Certification Group will be to </w:t>
      </w:r>
      <w:r w:rsidR="00BF3A0E">
        <w:rPr>
          <w:rFonts w:ascii="Times New Roman" w:hAnsi="Times New Roman"/>
          <w:sz w:val="24"/>
          <w:szCs w:val="24"/>
        </w:rPr>
        <w:t xml:space="preserve">implement the new program in collaboration with States. </w:t>
      </w:r>
    </w:p>
    <w:p w:rsidR="00096AB9" w:rsidRPr="00096AB9" w:rsidRDefault="00096AB9" w:rsidP="00096AB9">
      <w:pPr>
        <w:rPr>
          <w:szCs w:val="24"/>
        </w:rPr>
      </w:pPr>
    </w:p>
    <w:p w:rsidR="00BF3A0E" w:rsidRPr="00096AB9" w:rsidRDefault="00096AB9" w:rsidP="00BF3A0E">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6703 – National Training Institute</w:t>
      </w:r>
      <w:r w:rsidRPr="00096AB9">
        <w:rPr>
          <w:rFonts w:ascii="Times New Roman" w:hAnsi="Times New Roman"/>
          <w:sz w:val="24"/>
          <w:szCs w:val="24"/>
        </w:rPr>
        <w:t xml:space="preserve"> – </w:t>
      </w:r>
      <w:r w:rsidR="00485C71">
        <w:rPr>
          <w:rFonts w:ascii="Times New Roman" w:hAnsi="Times New Roman"/>
          <w:sz w:val="24"/>
          <w:szCs w:val="24"/>
        </w:rPr>
        <w:t>The Act e</w:t>
      </w:r>
      <w:r w:rsidRPr="00096AB9">
        <w:rPr>
          <w:rFonts w:ascii="Times New Roman" w:hAnsi="Times New Roman"/>
          <w:sz w:val="24"/>
          <w:szCs w:val="24"/>
        </w:rPr>
        <w:t xml:space="preserve">stablishes a National training institute to improve the training of surveyors with respect to investigating allegations of abuse, neglect and misappropriation of property.  The institute would evaluate surveyor competencies, develop and disseminate information on best practices for the investigation of abuse, neglect and misappropriation of property, assess performance of State intake systems, analyze and report annually on complaints and conduct a national study of the cost to State agencies of conducting complaint investigations. </w:t>
      </w:r>
      <w:r>
        <w:rPr>
          <w:rFonts w:ascii="Times New Roman" w:hAnsi="Times New Roman"/>
          <w:sz w:val="24"/>
          <w:szCs w:val="24"/>
        </w:rPr>
        <w:t xml:space="preserve"> </w:t>
      </w:r>
      <w:r w:rsidR="00BF3A0E">
        <w:rPr>
          <w:rFonts w:ascii="Times New Roman" w:hAnsi="Times New Roman"/>
          <w:sz w:val="24"/>
          <w:szCs w:val="24"/>
        </w:rPr>
        <w:t xml:space="preserve">The primary role of the Survey &amp; Certification Group will be to implement the new program in collaboration with States. </w:t>
      </w:r>
    </w:p>
    <w:p w:rsidR="00096AB9" w:rsidRPr="00096AB9" w:rsidRDefault="00096AB9" w:rsidP="00096AB9">
      <w:pPr>
        <w:pStyle w:val="ListParagraph"/>
        <w:spacing w:after="0" w:line="240" w:lineRule="auto"/>
        <w:ind w:left="0"/>
        <w:rPr>
          <w:rFonts w:ascii="Times New Roman" w:hAnsi="Times New Roman"/>
          <w:sz w:val="24"/>
          <w:szCs w:val="24"/>
        </w:rPr>
      </w:pPr>
    </w:p>
    <w:p w:rsidR="004254A5" w:rsidRDefault="004254A5" w:rsidP="007511E9">
      <w:pPr>
        <w:pStyle w:val="ListParagraph"/>
        <w:spacing w:after="0" w:line="240" w:lineRule="auto"/>
        <w:ind w:left="0"/>
        <w:rPr>
          <w:rFonts w:ascii="Times New Roman" w:hAnsi="Times New Roman"/>
          <w:b/>
          <w:sz w:val="24"/>
          <w:szCs w:val="24"/>
        </w:rPr>
      </w:pPr>
    </w:p>
    <w:p w:rsidR="004254A5" w:rsidRDefault="004254A5" w:rsidP="007511E9">
      <w:pPr>
        <w:pStyle w:val="ListParagraph"/>
        <w:spacing w:after="0" w:line="240" w:lineRule="auto"/>
        <w:ind w:left="0"/>
        <w:rPr>
          <w:rFonts w:ascii="Times New Roman" w:hAnsi="Times New Roman"/>
          <w:b/>
          <w:sz w:val="24"/>
          <w:szCs w:val="24"/>
        </w:rPr>
      </w:pPr>
    </w:p>
    <w:p w:rsidR="004254A5" w:rsidRDefault="004254A5" w:rsidP="007511E9">
      <w:pPr>
        <w:pStyle w:val="ListParagraph"/>
        <w:spacing w:after="0" w:line="240" w:lineRule="auto"/>
        <w:ind w:left="0"/>
        <w:rPr>
          <w:rFonts w:ascii="Times New Roman" w:hAnsi="Times New Roman"/>
          <w:b/>
          <w:sz w:val="24"/>
          <w:szCs w:val="24"/>
        </w:rPr>
      </w:pPr>
    </w:p>
    <w:p w:rsidR="007511E9" w:rsidRPr="00096AB9" w:rsidRDefault="00096AB9" w:rsidP="007511E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6703 – Grants to State Survey Agencies</w:t>
      </w:r>
      <w:r w:rsidRPr="00096AB9">
        <w:rPr>
          <w:rFonts w:ascii="Times New Roman" w:hAnsi="Times New Roman"/>
          <w:sz w:val="24"/>
          <w:szCs w:val="24"/>
        </w:rPr>
        <w:t xml:space="preserve"> – </w:t>
      </w:r>
      <w:r w:rsidR="00485C71">
        <w:rPr>
          <w:rFonts w:ascii="Times New Roman" w:hAnsi="Times New Roman"/>
          <w:sz w:val="24"/>
          <w:szCs w:val="24"/>
        </w:rPr>
        <w:t>The law p</w:t>
      </w:r>
      <w:r w:rsidRPr="00096AB9">
        <w:rPr>
          <w:rFonts w:ascii="Times New Roman" w:hAnsi="Times New Roman"/>
          <w:sz w:val="24"/>
          <w:szCs w:val="24"/>
        </w:rPr>
        <w:t>rovides grants to State survey agencies to design and implement optimal complaint investigation systems.</w:t>
      </w:r>
      <w:r>
        <w:rPr>
          <w:rFonts w:ascii="Times New Roman" w:hAnsi="Times New Roman"/>
          <w:sz w:val="24"/>
          <w:szCs w:val="24"/>
        </w:rPr>
        <w:t xml:space="preserve">  </w:t>
      </w:r>
      <w:r w:rsidR="007511E9">
        <w:rPr>
          <w:rFonts w:ascii="Times New Roman" w:hAnsi="Times New Roman"/>
          <w:sz w:val="24"/>
          <w:szCs w:val="24"/>
        </w:rPr>
        <w:t xml:space="preserve">The primary role of the Survey &amp; Certification Group will be to implement the new program in collaboration with States. </w:t>
      </w:r>
    </w:p>
    <w:p w:rsidR="00096AB9" w:rsidRPr="00096AB9" w:rsidRDefault="00096AB9" w:rsidP="00096AB9">
      <w:pPr>
        <w:pStyle w:val="ListParagraph"/>
        <w:spacing w:line="240" w:lineRule="auto"/>
        <w:ind w:left="360"/>
        <w:rPr>
          <w:rFonts w:ascii="Times New Roman" w:hAnsi="Times New Roman"/>
          <w:sz w:val="24"/>
          <w:szCs w:val="24"/>
        </w:rPr>
      </w:pPr>
    </w:p>
    <w:p w:rsidR="00096AB9" w:rsidRPr="00096AB9" w:rsidRDefault="00096AB9" w:rsidP="00096AB9">
      <w:pPr>
        <w:pStyle w:val="ListParagraph"/>
        <w:spacing w:after="0" w:line="240" w:lineRule="auto"/>
        <w:ind w:left="0"/>
        <w:rPr>
          <w:rFonts w:ascii="Times New Roman" w:hAnsi="Times New Roman"/>
          <w:sz w:val="24"/>
          <w:szCs w:val="24"/>
        </w:rPr>
      </w:pPr>
      <w:r w:rsidRPr="00096AB9">
        <w:rPr>
          <w:rFonts w:ascii="Times New Roman" w:hAnsi="Times New Roman"/>
          <w:b/>
          <w:sz w:val="24"/>
          <w:szCs w:val="24"/>
        </w:rPr>
        <w:t>Section 6703 – National Nurse Aide Registry</w:t>
      </w:r>
      <w:r w:rsidRPr="00096AB9">
        <w:rPr>
          <w:rFonts w:ascii="Times New Roman" w:hAnsi="Times New Roman"/>
          <w:sz w:val="24"/>
          <w:szCs w:val="24"/>
        </w:rPr>
        <w:t xml:space="preserve"> – </w:t>
      </w:r>
      <w:r w:rsidR="00485C71">
        <w:rPr>
          <w:rFonts w:ascii="Times New Roman" w:hAnsi="Times New Roman"/>
          <w:sz w:val="24"/>
          <w:szCs w:val="24"/>
        </w:rPr>
        <w:t>The law r</w:t>
      </w:r>
      <w:r w:rsidRPr="00096AB9">
        <w:rPr>
          <w:rFonts w:ascii="Times New Roman" w:hAnsi="Times New Roman"/>
          <w:sz w:val="24"/>
          <w:szCs w:val="24"/>
        </w:rPr>
        <w:t xml:space="preserve">equires HHS in consultation with stakeholders conduct a study on the establishing a national nurse aide registry.   </w:t>
      </w:r>
      <w:r>
        <w:rPr>
          <w:rFonts w:ascii="Times New Roman" w:hAnsi="Times New Roman"/>
          <w:sz w:val="24"/>
          <w:szCs w:val="24"/>
        </w:rPr>
        <w:t xml:space="preserve">The primary role of the Survey &amp; Certification Group will be to </w:t>
      </w:r>
      <w:r w:rsidR="007511E9">
        <w:rPr>
          <w:rFonts w:ascii="Times New Roman" w:hAnsi="Times New Roman"/>
          <w:sz w:val="24"/>
          <w:szCs w:val="24"/>
        </w:rPr>
        <w:t>conduct the study.</w:t>
      </w:r>
    </w:p>
    <w:p w:rsidR="00096AB9" w:rsidRPr="00096AB9" w:rsidRDefault="00096AB9" w:rsidP="00096AB9">
      <w:pPr>
        <w:pStyle w:val="ListParagraph"/>
        <w:spacing w:after="0" w:line="240" w:lineRule="auto"/>
        <w:ind w:left="0"/>
        <w:rPr>
          <w:rFonts w:ascii="Times New Roman" w:hAnsi="Times New Roman"/>
          <w:sz w:val="24"/>
          <w:szCs w:val="24"/>
        </w:rPr>
      </w:pPr>
    </w:p>
    <w:p w:rsidR="00096AB9" w:rsidRPr="00096AB9" w:rsidRDefault="00096AB9" w:rsidP="00096AB9">
      <w:pPr>
        <w:pStyle w:val="ListParagraph"/>
        <w:spacing w:line="240" w:lineRule="auto"/>
        <w:rPr>
          <w:rFonts w:ascii="Times New Roman" w:hAnsi="Times New Roman"/>
          <w:sz w:val="24"/>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p w:rsidR="00096AB9" w:rsidRPr="00096AB9" w:rsidRDefault="00096AB9" w:rsidP="00096AB9">
      <w:pPr>
        <w:widowControl/>
        <w:ind w:right="-4"/>
        <w:rPr>
          <w:szCs w:val="24"/>
        </w:rPr>
      </w:pPr>
    </w:p>
    <w:sectPr w:rsidR="00096AB9" w:rsidRPr="00096AB9" w:rsidSect="00932C89">
      <w:endnotePr>
        <w:numFmt w:val="decimal"/>
      </w:endnotePr>
      <w:pgSz w:w="12240" w:h="15840" w:code="1"/>
      <w:pgMar w:top="1008" w:right="1397" w:bottom="1152" w:left="1397" w:header="1152" w:footer="1152" w:gutter="0"/>
      <w:pgBorders w:offsetFrom="page">
        <w:top w:val="threeDEmboss" w:sz="24" w:space="24" w:color="auto"/>
        <w:left w:val="threeDEmboss" w:sz="24" w:space="24" w:color="auto"/>
        <w:bottom w:val="threeDEngrave" w:sz="24" w:space="24" w:color="auto"/>
        <w:right w:val="threeDEngrave" w:sz="24" w:space="24" w:color="auto"/>
      </w:pgBorders>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alibri">
    <w:panose1 w:val="020F0502020204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F031E31"/>
    <w:multiLevelType w:val="singleLevel"/>
    <w:tmpl w:val="0D025546"/>
    <w:lvl w:ilvl="0">
      <w:start w:val="1"/>
      <w:numFmt w:val="decimal"/>
      <w:lvlText w:val="%1."/>
      <w:lvlJc w:val="left"/>
      <w:pPr>
        <w:tabs>
          <w:tab w:val="num" w:pos="1080"/>
        </w:tabs>
        <w:ind w:left="1080" w:hanging="360"/>
      </w:pPr>
      <w:rPr>
        <w:rFonts w:hint="default"/>
      </w:rPr>
    </w:lvl>
  </w:abstractNum>
  <w:abstractNum w:abstractNumId="1">
    <w:nsid w:val="4FD13E24"/>
    <w:multiLevelType w:val="hybridMultilevel"/>
    <w:tmpl w:val="25302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rsids>
    <w:rsidRoot w:val="00096AB9"/>
    <w:rsid w:val="00096AB9"/>
    <w:rsid w:val="000B3DF0"/>
    <w:rsid w:val="00217449"/>
    <w:rsid w:val="00240951"/>
    <w:rsid w:val="0024576A"/>
    <w:rsid w:val="003E5139"/>
    <w:rsid w:val="004254A5"/>
    <w:rsid w:val="00485C71"/>
    <w:rsid w:val="004F4B90"/>
    <w:rsid w:val="007511E9"/>
    <w:rsid w:val="00932C89"/>
    <w:rsid w:val="009E1E10"/>
    <w:rsid w:val="00BF3A0E"/>
    <w:rsid w:val="00C57B3A"/>
    <w:rsid w:val="00D36DED"/>
    <w:rsid w:val="00E67D9B"/>
  </w:rsids>
  <m:mathPr>
    <m:mathFont m:val="Monaco"/>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76A"/>
    <w:pPr>
      <w:widowControl w:val="0"/>
    </w:pPr>
    <w:rPr>
      <w:snapToGrid w:val="0"/>
      <w:sz w:val="24"/>
    </w:rPr>
  </w:style>
  <w:style w:type="paragraph" w:styleId="Heading1">
    <w:name w:val="heading 1"/>
    <w:basedOn w:val="Normal"/>
    <w:next w:val="Normal"/>
    <w:qFormat/>
    <w:rsid w:val="0024576A"/>
    <w:pPr>
      <w:keepNext/>
      <w:widowControl/>
      <w:ind w:left="864" w:right="864"/>
      <w:outlineLvl w:val="0"/>
    </w:pPr>
    <w:rPr>
      <w:b/>
      <w:i/>
      <w:sz w:val="26"/>
    </w:rPr>
  </w:style>
  <w:style w:type="paragraph" w:styleId="Heading2">
    <w:name w:val="heading 2"/>
    <w:basedOn w:val="Normal"/>
    <w:next w:val="Normal"/>
    <w:qFormat/>
    <w:rsid w:val="0024576A"/>
    <w:pPr>
      <w:keepNext/>
      <w:widowControl/>
      <w:jc w:val="right"/>
      <w:outlineLvl w:val="1"/>
    </w:pPr>
    <w:rPr>
      <w:b/>
    </w:rPr>
  </w:style>
  <w:style w:type="paragraph" w:styleId="Heading3">
    <w:name w:val="heading 3"/>
    <w:basedOn w:val="Normal"/>
    <w:next w:val="Normal"/>
    <w:qFormat/>
    <w:rsid w:val="0024576A"/>
    <w:pPr>
      <w:keepNext/>
      <w:widowControl/>
      <w:ind w:left="864" w:right="864"/>
      <w:outlineLvl w:val="2"/>
    </w:pPr>
    <w:rPr>
      <w:b/>
      <w:i/>
    </w:rPr>
  </w:style>
  <w:style w:type="paragraph" w:styleId="Heading4">
    <w:name w:val="heading 4"/>
    <w:basedOn w:val="Normal"/>
    <w:next w:val="Normal"/>
    <w:qFormat/>
    <w:rsid w:val="0024576A"/>
    <w:pPr>
      <w:keepNext/>
      <w:widowControl/>
      <w:outlineLvl w:val="3"/>
    </w:pPr>
    <w:rPr>
      <w:sz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FootnoteReference">
    <w:name w:val="footnote reference"/>
    <w:semiHidden/>
    <w:rsid w:val="0024576A"/>
  </w:style>
  <w:style w:type="paragraph" w:styleId="BodyText">
    <w:name w:val="Body Text"/>
    <w:basedOn w:val="Normal"/>
    <w:semiHidden/>
    <w:rsid w:val="0024576A"/>
    <w:pPr>
      <w:widowControl/>
    </w:pPr>
    <w:rPr>
      <w:sz w:val="26"/>
    </w:rPr>
  </w:style>
  <w:style w:type="paragraph" w:styleId="Title">
    <w:name w:val="Title"/>
    <w:basedOn w:val="Normal"/>
    <w:qFormat/>
    <w:rsid w:val="0024576A"/>
    <w:pPr>
      <w:widowControl/>
      <w:jc w:val="center"/>
    </w:pPr>
    <w:rPr>
      <w:b/>
      <w:snapToGrid/>
    </w:rPr>
  </w:style>
  <w:style w:type="paragraph" w:styleId="ListParagraph">
    <w:name w:val="List Paragraph"/>
    <w:basedOn w:val="Normal"/>
    <w:uiPriority w:val="34"/>
    <w:qFormat/>
    <w:rsid w:val="00096AB9"/>
    <w:pPr>
      <w:widowControl/>
      <w:spacing w:after="200" w:line="276" w:lineRule="auto"/>
      <w:ind w:left="720"/>
      <w:contextualSpacing/>
    </w:pPr>
    <w:rPr>
      <w:rFonts w:ascii="Calibri" w:eastAsia="Calibri" w:hAnsi="Calibri"/>
      <w:snapToGrid/>
      <w:sz w:val="22"/>
      <w:szCs w:val="22"/>
    </w:rPr>
  </w:style>
  <w:style w:type="character" w:styleId="Hyperlink">
    <w:name w:val="Hyperlink"/>
    <w:basedOn w:val="DefaultParagraphFont"/>
    <w:uiPriority w:val="99"/>
    <w:unhideWhenUsed/>
    <w:rsid w:val="00096AB9"/>
    <w:rPr>
      <w:color w:val="0000FF"/>
      <w:u w:val="single"/>
    </w:rPr>
  </w:style>
  <w:style w:type="paragraph" w:styleId="BalloonText">
    <w:name w:val="Balloon Text"/>
    <w:basedOn w:val="Normal"/>
    <w:link w:val="BalloonTextChar"/>
    <w:uiPriority w:val="99"/>
    <w:semiHidden/>
    <w:unhideWhenUsed/>
    <w:rsid w:val="003E5139"/>
    <w:rPr>
      <w:rFonts w:ascii="Tahoma" w:hAnsi="Tahoma" w:cs="Tahoma"/>
      <w:sz w:val="16"/>
      <w:szCs w:val="16"/>
    </w:rPr>
  </w:style>
  <w:style w:type="character" w:customStyle="1" w:styleId="BalloonTextChar">
    <w:name w:val="Balloon Text Char"/>
    <w:basedOn w:val="DefaultParagraphFont"/>
    <w:link w:val="BalloonText"/>
    <w:uiPriority w:val="99"/>
    <w:semiHidden/>
    <w:rsid w:val="003E5139"/>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hyperlink" Target="mailto:jenny.filipovitz@cms.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1386</Words>
  <Characters>7901</Characters>
  <Application>Microsoft Macintosh Word</Application>
  <DocSecurity>0</DocSecurity>
  <Lines>65</Lines>
  <Paragraphs>15</Paragraphs>
  <ScaleCrop>false</ScaleCrop>
  <HeadingPairs>
    <vt:vector size="2" baseType="variant">
      <vt:variant>
        <vt:lpstr>Title</vt:lpstr>
      </vt:variant>
      <vt:variant>
        <vt:i4>1</vt:i4>
      </vt:variant>
    </vt:vector>
  </HeadingPairs>
  <TitlesOfParts>
    <vt:vector size="1" baseType="lpstr">
      <vt:lpstr> </vt:lpstr>
    </vt:vector>
  </TitlesOfParts>
  <Company>HCFA</Company>
  <LinksUpToDate>false</LinksUpToDate>
  <CharactersWithSpaces>9702</CharactersWithSpaces>
  <SharedDoc>false</SharedDoc>
  <HLinks>
    <vt:vector size="6" baseType="variant">
      <vt:variant>
        <vt:i4>5046399</vt:i4>
      </vt:variant>
      <vt:variant>
        <vt:i4>0</vt:i4>
      </vt:variant>
      <vt:variant>
        <vt:i4>0</vt:i4>
      </vt:variant>
      <vt:variant>
        <vt:i4>5</vt:i4>
      </vt:variant>
      <vt:variant>
        <vt:lpwstr>mailto:jenny.filipovitz@cms.hhs.gov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HCFA Software Control</dc:creator>
  <cp:keywords/>
  <dc:description/>
  <cp:lastModifiedBy>Gary Perez</cp:lastModifiedBy>
  <cp:revision>2</cp:revision>
  <cp:lastPrinted>2010-04-19T18:46:00Z</cp:lastPrinted>
  <dcterms:created xsi:type="dcterms:W3CDTF">2010-04-28T17:49:00Z</dcterms:created>
  <dcterms:modified xsi:type="dcterms:W3CDTF">2010-04-28T17:49:00Z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277420198</vt:i4>
  </property>
  <property fmtid="{D5CDD505-2E9C-101B-9397-08002B2CF9AE}" pid="3" name="_NewReviewCycle">
    <vt:lpwstr/>
  </property>
  <property fmtid="{D5CDD505-2E9C-101B-9397-08002B2CF9AE}" pid="4" name="_EmailSubject">
    <vt:lpwstr>Quick Question</vt:lpwstr>
  </property>
  <property fmtid="{D5CDD505-2E9C-101B-9397-08002B2CF9AE}" pid="5" name="_AuthorEmail">
    <vt:lpwstr>Jenny.Filipovits@CMS.hhs.gov</vt:lpwstr>
  </property>
  <property fmtid="{D5CDD505-2E9C-101B-9397-08002B2CF9AE}" pid="6" name="_AuthorEmailDisplayName">
    <vt:lpwstr>Filipovits, Jenny (CMS/CMSO)</vt:lpwstr>
  </property>
  <property fmtid="{D5CDD505-2E9C-101B-9397-08002B2CF9AE}" pid="7" name="_ReviewingToolsShownOnce">
    <vt:lpwstr/>
  </property>
</Properties>
</file>